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r>
        <w:rPr>
          <w:rFonts w:ascii="Arial" w:hAnsi="Arial" w:cs="Arial"/>
          <w:color w:val="8A8A8A"/>
          <w:sz w:val="21"/>
          <w:szCs w:val="21"/>
        </w:rPr>
        <w:t xml:space="preserve">A febbraio di quest’anno è stata ottenuta l’autorizzazione al commercio in Europa per il farmaco denominato </w:t>
      </w:r>
      <w:proofErr w:type="spellStart"/>
      <w:r>
        <w:rPr>
          <w:rFonts w:ascii="Arial" w:hAnsi="Arial" w:cs="Arial"/>
          <w:color w:val="8A8A8A"/>
          <w:sz w:val="21"/>
          <w:szCs w:val="21"/>
        </w:rPr>
        <w:t>Oxybee</w:t>
      </w:r>
      <w:proofErr w:type="spellEnd"/>
      <w:r>
        <w:rPr>
          <w:rFonts w:ascii="Arial" w:hAnsi="Arial" w:cs="Arial"/>
          <w:color w:val="8A8A8A"/>
          <w:sz w:val="21"/>
          <w:szCs w:val="21"/>
        </w:rPr>
        <w:t>, a base di acido ossalico diidrato in soluzione zuccherina contente glicerolo e oli essenziali.</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r>
        <w:rPr>
          <w:rFonts w:ascii="Arial" w:hAnsi="Arial" w:cs="Arial"/>
          <w:color w:val="8A8A8A"/>
          <w:sz w:val="21"/>
          <w:szCs w:val="21"/>
        </w:rPr>
        <w:t xml:space="preserve">Tale farmaco verrà proposto in Italia dalla </w:t>
      </w:r>
      <w:proofErr w:type="spellStart"/>
      <w:r>
        <w:rPr>
          <w:rFonts w:ascii="Arial" w:hAnsi="Arial" w:cs="Arial"/>
          <w:color w:val="8A8A8A"/>
          <w:sz w:val="21"/>
          <w:szCs w:val="21"/>
        </w:rPr>
        <w:t>Chemicals</w:t>
      </w:r>
      <w:proofErr w:type="spellEnd"/>
      <w:r>
        <w:rPr>
          <w:rFonts w:ascii="Arial" w:hAnsi="Arial" w:cs="Arial"/>
          <w:color w:val="8A8A8A"/>
          <w:sz w:val="21"/>
          <w:szCs w:val="21"/>
        </w:rPr>
        <w:t xml:space="preserve"> </w:t>
      </w:r>
      <w:proofErr w:type="spellStart"/>
      <w:r>
        <w:rPr>
          <w:rFonts w:ascii="Arial" w:hAnsi="Arial" w:cs="Arial"/>
          <w:color w:val="8A8A8A"/>
          <w:sz w:val="21"/>
          <w:szCs w:val="21"/>
        </w:rPr>
        <w:t>Laif</w:t>
      </w:r>
      <w:proofErr w:type="spellEnd"/>
      <w:r>
        <w:rPr>
          <w:rFonts w:ascii="Arial" w:hAnsi="Arial" w:cs="Arial"/>
          <w:color w:val="8A8A8A"/>
          <w:sz w:val="21"/>
          <w:szCs w:val="21"/>
        </w:rPr>
        <w:t xml:space="preserve"> nel solo formato da 1000 ml, che consiste di: una bottiglia di plastica contenente 35 g di acido ossalico diidrato (principio attivo), acido citrico monoidrato (stabilizzante), glicerolo 85% (solvente e umettante), acqua (solvente); due sacchetti contenti saccarosio (modificatore di viscosità), olio di anice e olio di eucalipto (aromi naturali).</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r>
        <w:rPr>
          <w:rStyle w:val="Enfasigrassetto"/>
          <w:rFonts w:ascii="Arial" w:hAnsi="Arial" w:cs="Arial"/>
          <w:color w:val="8A8A8A"/>
          <w:sz w:val="21"/>
          <w:szCs w:val="21"/>
        </w:rPr>
        <w:t xml:space="preserve">Qual è la differenza tra </w:t>
      </w:r>
      <w:proofErr w:type="spellStart"/>
      <w:r>
        <w:rPr>
          <w:rStyle w:val="Enfasigrassetto"/>
          <w:rFonts w:ascii="Arial" w:hAnsi="Arial" w:cs="Arial"/>
          <w:color w:val="8A8A8A"/>
          <w:sz w:val="21"/>
          <w:szCs w:val="21"/>
        </w:rPr>
        <w:t>Oxybee</w:t>
      </w:r>
      <w:proofErr w:type="spellEnd"/>
      <w:r>
        <w:rPr>
          <w:rStyle w:val="Enfasigrassetto"/>
          <w:rFonts w:ascii="Arial" w:hAnsi="Arial" w:cs="Arial"/>
          <w:color w:val="8A8A8A"/>
          <w:sz w:val="21"/>
          <w:szCs w:val="21"/>
        </w:rPr>
        <w:t xml:space="preserve"> e </w:t>
      </w:r>
      <w:proofErr w:type="spellStart"/>
      <w:r>
        <w:rPr>
          <w:rStyle w:val="Enfasigrassetto"/>
          <w:rFonts w:ascii="Arial" w:hAnsi="Arial" w:cs="Arial"/>
          <w:color w:val="8A8A8A"/>
          <w:sz w:val="21"/>
          <w:szCs w:val="21"/>
        </w:rPr>
        <w:t>Apibioxal</w:t>
      </w:r>
      <w:proofErr w:type="spellEnd"/>
      <w:r>
        <w:rPr>
          <w:rStyle w:val="Enfasigrassetto"/>
          <w:rFonts w:ascii="Arial" w:hAnsi="Arial" w:cs="Arial"/>
          <w:color w:val="8A8A8A"/>
          <w:sz w:val="21"/>
          <w:szCs w:val="21"/>
        </w:rPr>
        <w:t>?</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r>
        <w:rPr>
          <w:rFonts w:ascii="Arial" w:hAnsi="Arial" w:cs="Arial"/>
          <w:color w:val="8A8A8A"/>
          <w:sz w:val="21"/>
          <w:szCs w:val="21"/>
        </w:rPr>
        <w:t xml:space="preserve">La differenza sostanziale tra </w:t>
      </w:r>
      <w:proofErr w:type="spellStart"/>
      <w:r>
        <w:rPr>
          <w:rFonts w:ascii="Arial" w:hAnsi="Arial" w:cs="Arial"/>
          <w:color w:val="8A8A8A"/>
          <w:sz w:val="21"/>
          <w:szCs w:val="21"/>
        </w:rPr>
        <w:t>Oxybee</w:t>
      </w:r>
      <w:proofErr w:type="spellEnd"/>
      <w:r>
        <w:rPr>
          <w:rFonts w:ascii="Arial" w:hAnsi="Arial" w:cs="Arial"/>
          <w:color w:val="8A8A8A"/>
          <w:sz w:val="21"/>
          <w:szCs w:val="21"/>
        </w:rPr>
        <w:t xml:space="preserve"> a </w:t>
      </w:r>
      <w:proofErr w:type="spellStart"/>
      <w:r>
        <w:rPr>
          <w:rFonts w:ascii="Arial" w:hAnsi="Arial" w:cs="Arial"/>
          <w:color w:val="8A8A8A"/>
          <w:sz w:val="21"/>
          <w:szCs w:val="21"/>
        </w:rPr>
        <w:t>Apibioxal</w:t>
      </w:r>
      <w:proofErr w:type="spellEnd"/>
      <w:r>
        <w:rPr>
          <w:rFonts w:ascii="Arial" w:hAnsi="Arial" w:cs="Arial"/>
          <w:color w:val="8A8A8A"/>
          <w:sz w:val="21"/>
          <w:szCs w:val="21"/>
        </w:rPr>
        <w:t xml:space="preserve"> consiste nel diverso agente umettante (glicerolo per il primo e saccarosio per il secondo), necessario ad aumentare la permanenza allo stato liquido della soluzione. È ben noto infatti che in assenza di acqua la soluzione non esercita la sua acidità ed è a tutti gli effetti inattiva nei confronti dell’acaro </w:t>
      </w:r>
      <w:proofErr w:type="spellStart"/>
      <w:r>
        <w:rPr>
          <w:rFonts w:ascii="Arial" w:hAnsi="Arial" w:cs="Arial"/>
          <w:color w:val="8A8A8A"/>
          <w:sz w:val="21"/>
          <w:szCs w:val="21"/>
        </w:rPr>
        <w:t>varroa</w:t>
      </w:r>
      <w:proofErr w:type="spellEnd"/>
      <w:r>
        <w:rPr>
          <w:rFonts w:ascii="Arial" w:hAnsi="Arial" w:cs="Arial"/>
          <w:color w:val="8A8A8A"/>
          <w:sz w:val="21"/>
          <w:szCs w:val="21"/>
        </w:rPr>
        <w:t>.</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r>
        <w:rPr>
          <w:rStyle w:val="Enfasigrassetto"/>
          <w:rFonts w:ascii="Arial" w:hAnsi="Arial" w:cs="Arial"/>
          <w:color w:val="8A8A8A"/>
          <w:sz w:val="21"/>
          <w:szCs w:val="21"/>
        </w:rPr>
        <w:t>Perché la medesima casa produttrice propone un nuovo farmaco avente un principio attivo già presente nel loro catalogo?</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r>
        <w:rPr>
          <w:rFonts w:ascii="Arial" w:hAnsi="Arial" w:cs="Arial"/>
          <w:color w:val="8A8A8A"/>
          <w:sz w:val="21"/>
          <w:szCs w:val="21"/>
        </w:rPr>
        <w:t xml:space="preserve">Nella soluzione di </w:t>
      </w:r>
      <w:proofErr w:type="spellStart"/>
      <w:r>
        <w:rPr>
          <w:rFonts w:ascii="Arial" w:hAnsi="Arial" w:cs="Arial"/>
          <w:color w:val="8A8A8A"/>
          <w:sz w:val="21"/>
          <w:szCs w:val="21"/>
        </w:rPr>
        <w:t>Apibioxal</w:t>
      </w:r>
      <w:proofErr w:type="spellEnd"/>
      <w:r>
        <w:rPr>
          <w:rFonts w:ascii="Arial" w:hAnsi="Arial" w:cs="Arial"/>
          <w:color w:val="8A8A8A"/>
          <w:sz w:val="21"/>
          <w:szCs w:val="21"/>
        </w:rPr>
        <w:t xml:space="preserve">, l’elevata acidità e la presenza di saccarosio, promuovono la formazione di HMF e inducono un imbrunimento della soluzione a causa della reazione di </w:t>
      </w:r>
      <w:proofErr w:type="spellStart"/>
      <w:r>
        <w:rPr>
          <w:rFonts w:ascii="Arial" w:hAnsi="Arial" w:cs="Arial"/>
          <w:color w:val="8A8A8A"/>
          <w:sz w:val="21"/>
          <w:szCs w:val="21"/>
        </w:rPr>
        <w:t>Maillard</w:t>
      </w:r>
      <w:proofErr w:type="spellEnd"/>
      <w:r>
        <w:rPr>
          <w:rFonts w:ascii="Arial" w:hAnsi="Arial" w:cs="Arial"/>
          <w:color w:val="8A8A8A"/>
          <w:sz w:val="21"/>
          <w:szCs w:val="21"/>
        </w:rPr>
        <w:t xml:space="preserve"> che produce composti policiclici che assorbono luce nello spettro del visibile. È stato dimostrato che il pH della soluzione non varia nemmeno dopo 16 mesi di conservazione a temperatura ambiente e di conseguenza l’efficacia è stabile. La presenza di HMF però, altamente tossico per le api, ne rende l’utilizzo sconsigliabile (</w:t>
      </w:r>
      <w:proofErr w:type="spellStart"/>
      <w:r>
        <w:rPr>
          <w:rFonts w:ascii="Arial" w:hAnsi="Arial" w:cs="Arial"/>
          <w:color w:val="8A8A8A"/>
          <w:sz w:val="21"/>
          <w:szCs w:val="21"/>
        </w:rPr>
        <w:t>Tab</w:t>
      </w:r>
      <w:proofErr w:type="spellEnd"/>
      <w:r>
        <w:rPr>
          <w:rFonts w:ascii="Arial" w:hAnsi="Arial" w:cs="Arial"/>
          <w:color w:val="8A8A8A"/>
          <w:sz w:val="21"/>
          <w:szCs w:val="21"/>
        </w:rPr>
        <w:t>. 1).</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r>
        <w:rPr>
          <w:rFonts w:ascii="Arial" w:hAnsi="Arial" w:cs="Arial"/>
          <w:color w:val="8A8A8A"/>
          <w:sz w:val="21"/>
          <w:szCs w:val="21"/>
        </w:rPr>
        <w:t xml:space="preserve">L’utilizzo di glicerolo come agente umettante in luogo del saccarosio dovrebbe estendere il tempo di conservazione della soluzione ricostituita rendendo il farmaco più pratico nell’utilizzo rispetto ad </w:t>
      </w:r>
      <w:proofErr w:type="spellStart"/>
      <w:r>
        <w:rPr>
          <w:rFonts w:ascii="Arial" w:hAnsi="Arial" w:cs="Arial"/>
          <w:color w:val="8A8A8A"/>
          <w:sz w:val="21"/>
          <w:szCs w:val="21"/>
        </w:rPr>
        <w:t>Apibioxal</w:t>
      </w:r>
      <w:proofErr w:type="spellEnd"/>
      <w:r>
        <w:rPr>
          <w:rFonts w:ascii="Arial" w:hAnsi="Arial" w:cs="Arial"/>
          <w:color w:val="8A8A8A"/>
          <w:sz w:val="21"/>
          <w:szCs w:val="21"/>
        </w:rPr>
        <w:t>. Il produttore garantisce la possibilità di utilizzo della soluzione fino a 12 mesi dalla preparazione, se conservato in frigorifero tra 2 e 8 °C.</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r>
        <w:rPr>
          <w:rFonts w:ascii="Arial" w:hAnsi="Arial" w:cs="Arial"/>
          <w:color w:val="8A8A8A"/>
          <w:sz w:val="21"/>
          <w:szCs w:val="21"/>
        </w:rPr>
        <w:t xml:space="preserve">Tuttavia è da ricordare che alla medesima temperatura di conservazione, anche una soluzione con saccarosio non subisce modificazioni di HMF e colore </w:t>
      </w:r>
      <w:proofErr w:type="gramStart"/>
      <w:r>
        <w:rPr>
          <w:rFonts w:ascii="Arial" w:hAnsi="Arial" w:cs="Arial"/>
          <w:color w:val="8A8A8A"/>
          <w:sz w:val="21"/>
          <w:szCs w:val="21"/>
        </w:rPr>
        <w:t>consistenti.(</w:t>
      </w:r>
      <w:proofErr w:type="spellStart"/>
      <w:proofErr w:type="gramEnd"/>
      <w:r>
        <w:rPr>
          <w:rFonts w:ascii="Arial" w:hAnsi="Arial" w:cs="Arial"/>
          <w:color w:val="8A8A8A"/>
          <w:sz w:val="21"/>
          <w:szCs w:val="21"/>
        </w:rPr>
        <w:t>Tab</w:t>
      </w:r>
      <w:proofErr w:type="spellEnd"/>
      <w:r>
        <w:rPr>
          <w:rFonts w:ascii="Arial" w:hAnsi="Arial" w:cs="Arial"/>
          <w:color w:val="8A8A8A"/>
          <w:sz w:val="21"/>
          <w:szCs w:val="21"/>
        </w:rPr>
        <w:t>. 1, Fig. 1)</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r>
        <w:rPr>
          <w:rFonts w:ascii="Arial" w:hAnsi="Arial" w:cs="Arial"/>
          <w:noProof/>
          <w:color w:val="8A8A8A"/>
          <w:sz w:val="21"/>
          <w:szCs w:val="21"/>
        </w:rPr>
        <w:drawing>
          <wp:inline distT="0" distB="0" distL="0" distR="0">
            <wp:extent cx="6120130" cy="2332990"/>
            <wp:effectExtent l="0" t="0" r="0" b="0"/>
            <wp:docPr id="2" name="Immagine 2" descr="tabella ossa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ella ossalic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2332990"/>
                    </a:xfrm>
                    <a:prstGeom prst="rect">
                      <a:avLst/>
                    </a:prstGeom>
                    <a:noFill/>
                    <a:ln>
                      <a:noFill/>
                    </a:ln>
                  </pic:spPr>
                </pic:pic>
              </a:graphicData>
            </a:graphic>
          </wp:inline>
        </w:drawing>
      </w:r>
      <w:r>
        <w:rPr>
          <w:rFonts w:ascii="Arial" w:hAnsi="Arial" w:cs="Arial"/>
          <w:color w:val="8A8A8A"/>
          <w:sz w:val="21"/>
          <w:szCs w:val="21"/>
        </w:rPr>
        <w:t xml:space="preserve">Tabella 1 - Confronto tra soluzione fresca e soluzione dopo 16 mesi di conservazione in diverse condizioni. Da </w:t>
      </w:r>
      <w:proofErr w:type="spellStart"/>
      <w:r>
        <w:rPr>
          <w:rFonts w:ascii="Arial" w:hAnsi="Arial" w:cs="Arial"/>
          <w:color w:val="8A8A8A"/>
          <w:sz w:val="21"/>
          <w:szCs w:val="21"/>
        </w:rPr>
        <w:t>Prandin</w:t>
      </w:r>
      <w:proofErr w:type="spellEnd"/>
      <w:r>
        <w:rPr>
          <w:rFonts w:ascii="Arial" w:hAnsi="Arial" w:cs="Arial"/>
          <w:color w:val="8A8A8A"/>
          <w:sz w:val="21"/>
          <w:szCs w:val="21"/>
        </w:rPr>
        <w:t xml:space="preserve"> et al. (2001)</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r>
        <w:rPr>
          <w:rFonts w:ascii="Arial" w:hAnsi="Arial" w:cs="Arial"/>
          <w:noProof/>
          <w:color w:val="8A8A8A"/>
          <w:sz w:val="21"/>
          <w:szCs w:val="21"/>
        </w:rPr>
        <w:lastRenderedPageBreak/>
        <w:drawing>
          <wp:inline distT="0" distB="0" distL="0" distR="0">
            <wp:extent cx="6120130" cy="2639060"/>
            <wp:effectExtent l="0" t="0" r="0" b="8890"/>
            <wp:docPr id="1" name="Immagine 1" descr="soluzioni ossa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uzioni ossali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2639060"/>
                    </a:xfrm>
                    <a:prstGeom prst="rect">
                      <a:avLst/>
                    </a:prstGeom>
                    <a:noFill/>
                    <a:ln>
                      <a:noFill/>
                    </a:ln>
                  </pic:spPr>
                </pic:pic>
              </a:graphicData>
            </a:graphic>
          </wp:inline>
        </w:drawing>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r>
        <w:rPr>
          <w:rFonts w:ascii="Arial" w:hAnsi="Arial" w:cs="Arial"/>
          <w:color w:val="8A8A8A"/>
          <w:sz w:val="21"/>
          <w:szCs w:val="21"/>
        </w:rPr>
        <w:t xml:space="preserve">Figura 1 - Cambio di colore di soluzioni di acido ossalico e saccarosio a diverse temperature di conservazione, dopo 57 settimane. Da </w:t>
      </w:r>
      <w:proofErr w:type="spellStart"/>
      <w:r>
        <w:rPr>
          <w:rFonts w:ascii="Arial" w:hAnsi="Arial" w:cs="Arial"/>
          <w:color w:val="8A8A8A"/>
          <w:sz w:val="21"/>
          <w:szCs w:val="21"/>
        </w:rPr>
        <w:t>Bogdanov</w:t>
      </w:r>
      <w:proofErr w:type="spellEnd"/>
      <w:r>
        <w:rPr>
          <w:rFonts w:ascii="Arial" w:hAnsi="Arial" w:cs="Arial"/>
          <w:color w:val="8A8A8A"/>
          <w:sz w:val="21"/>
          <w:szCs w:val="21"/>
        </w:rPr>
        <w:t xml:space="preserve"> et al. (2001)</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r>
        <w:rPr>
          <w:rStyle w:val="Enfasigrassetto"/>
          <w:rFonts w:ascii="Arial" w:hAnsi="Arial" w:cs="Arial"/>
          <w:color w:val="8A8A8A"/>
          <w:sz w:val="21"/>
          <w:szCs w:val="21"/>
        </w:rPr>
        <w:t xml:space="preserve">È vero che </w:t>
      </w:r>
      <w:proofErr w:type="spellStart"/>
      <w:r>
        <w:rPr>
          <w:rStyle w:val="Enfasigrassetto"/>
          <w:rFonts w:ascii="Arial" w:hAnsi="Arial" w:cs="Arial"/>
          <w:color w:val="8A8A8A"/>
          <w:sz w:val="21"/>
          <w:szCs w:val="21"/>
        </w:rPr>
        <w:t>Oxybee</w:t>
      </w:r>
      <w:proofErr w:type="spellEnd"/>
      <w:r>
        <w:rPr>
          <w:rStyle w:val="Enfasigrassetto"/>
          <w:rFonts w:ascii="Arial" w:hAnsi="Arial" w:cs="Arial"/>
          <w:color w:val="8A8A8A"/>
          <w:sz w:val="21"/>
          <w:szCs w:val="21"/>
        </w:rPr>
        <w:t xml:space="preserve"> è più efficace?</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r>
        <w:rPr>
          <w:rFonts w:ascii="Arial" w:hAnsi="Arial" w:cs="Arial"/>
          <w:color w:val="8A8A8A"/>
          <w:sz w:val="21"/>
          <w:szCs w:val="21"/>
        </w:rPr>
        <w:t>La brochure del prodotto (</w:t>
      </w:r>
      <w:hyperlink r:id="rId6" w:history="1">
        <w:r>
          <w:rPr>
            <w:rStyle w:val="Collegamentoipertestuale"/>
            <w:rFonts w:ascii="Arial" w:hAnsi="Arial" w:cs="Arial"/>
            <w:color w:val="85B7D5"/>
            <w:sz w:val="21"/>
            <w:szCs w:val="21"/>
          </w:rPr>
          <w:t>http://www.alveis.it/wp-content/uploads/2018/10/Oxybee-brochure-2018-EUROPE-ALVEIS.pdf</w:t>
        </w:r>
      </w:hyperlink>
      <w:r>
        <w:rPr>
          <w:rFonts w:ascii="Arial" w:hAnsi="Arial" w:cs="Arial"/>
          <w:color w:val="8A8A8A"/>
          <w:sz w:val="21"/>
          <w:szCs w:val="21"/>
        </w:rPr>
        <w:t>) ricava i dati di efficacia dal report dell’EMA (</w:t>
      </w:r>
      <w:hyperlink r:id="rId7" w:history="1">
        <w:r>
          <w:rPr>
            <w:rStyle w:val="Collegamentoipertestuale"/>
            <w:rFonts w:ascii="Arial" w:hAnsi="Arial" w:cs="Arial"/>
            <w:color w:val="85B7D5"/>
            <w:sz w:val="21"/>
            <w:szCs w:val="21"/>
          </w:rPr>
          <w:t>https://www.ema.europa.eu/documents/assessment-report/oxybee-epar-public-assessment-report_en.pdf</w:t>
        </w:r>
      </w:hyperlink>
      <w:r>
        <w:rPr>
          <w:rFonts w:ascii="Arial" w:hAnsi="Arial" w:cs="Arial"/>
          <w:color w:val="8A8A8A"/>
          <w:sz w:val="21"/>
          <w:szCs w:val="21"/>
        </w:rPr>
        <w:t xml:space="preserve">). La prova citata riguarda il confronto tra </w:t>
      </w:r>
      <w:proofErr w:type="spellStart"/>
      <w:r>
        <w:rPr>
          <w:rFonts w:ascii="Arial" w:hAnsi="Arial" w:cs="Arial"/>
          <w:color w:val="8A8A8A"/>
          <w:sz w:val="21"/>
          <w:szCs w:val="21"/>
        </w:rPr>
        <w:t>Oxybee</w:t>
      </w:r>
      <w:proofErr w:type="spellEnd"/>
      <w:r>
        <w:rPr>
          <w:rFonts w:ascii="Arial" w:hAnsi="Arial" w:cs="Arial"/>
          <w:color w:val="8A8A8A"/>
          <w:sz w:val="21"/>
          <w:szCs w:val="21"/>
        </w:rPr>
        <w:t xml:space="preserve"> e un altro prodotto a base di acido ossalico registrato in </w:t>
      </w:r>
      <w:proofErr w:type="spellStart"/>
      <w:r>
        <w:rPr>
          <w:rFonts w:ascii="Arial" w:hAnsi="Arial" w:cs="Arial"/>
          <w:color w:val="8A8A8A"/>
          <w:sz w:val="21"/>
          <w:szCs w:val="21"/>
        </w:rPr>
        <w:t>europa</w:t>
      </w:r>
      <w:proofErr w:type="spellEnd"/>
      <w:r>
        <w:rPr>
          <w:rFonts w:ascii="Arial" w:hAnsi="Arial" w:cs="Arial"/>
          <w:color w:val="8A8A8A"/>
          <w:sz w:val="21"/>
          <w:szCs w:val="21"/>
        </w:rPr>
        <w:t xml:space="preserve">, </w:t>
      </w:r>
      <w:proofErr w:type="spellStart"/>
      <w:r>
        <w:rPr>
          <w:rFonts w:ascii="Arial" w:hAnsi="Arial" w:cs="Arial"/>
          <w:color w:val="8A8A8A"/>
          <w:sz w:val="21"/>
          <w:szCs w:val="21"/>
        </w:rPr>
        <w:t>Ecoxal</w:t>
      </w:r>
      <w:proofErr w:type="spellEnd"/>
      <w:r>
        <w:rPr>
          <w:rFonts w:ascii="Arial" w:hAnsi="Arial" w:cs="Arial"/>
          <w:color w:val="8A8A8A"/>
          <w:sz w:val="21"/>
          <w:szCs w:val="21"/>
        </w:rPr>
        <w:t xml:space="preserve">. L’efficacia rilevata nel confronto in un contesto di utilizzo invernale (ovviamente in assenza di covata) denota effettivamente una migliore efficacia di </w:t>
      </w:r>
      <w:proofErr w:type="spellStart"/>
      <w:r>
        <w:rPr>
          <w:rFonts w:ascii="Arial" w:hAnsi="Arial" w:cs="Arial"/>
          <w:color w:val="8A8A8A"/>
          <w:sz w:val="21"/>
          <w:szCs w:val="21"/>
        </w:rPr>
        <w:t>Oxybee</w:t>
      </w:r>
      <w:proofErr w:type="spellEnd"/>
      <w:r>
        <w:rPr>
          <w:rFonts w:ascii="Arial" w:hAnsi="Arial" w:cs="Arial"/>
          <w:color w:val="8A8A8A"/>
          <w:sz w:val="21"/>
          <w:szCs w:val="21"/>
        </w:rPr>
        <w:t xml:space="preserve"> (98%) rispetto ad </w:t>
      </w:r>
      <w:proofErr w:type="spellStart"/>
      <w:r>
        <w:rPr>
          <w:rFonts w:ascii="Arial" w:hAnsi="Arial" w:cs="Arial"/>
          <w:color w:val="8A8A8A"/>
          <w:sz w:val="21"/>
          <w:szCs w:val="21"/>
        </w:rPr>
        <w:t>Ecoxal</w:t>
      </w:r>
      <w:proofErr w:type="spellEnd"/>
      <w:r>
        <w:rPr>
          <w:rFonts w:ascii="Arial" w:hAnsi="Arial" w:cs="Arial"/>
          <w:color w:val="8A8A8A"/>
          <w:sz w:val="21"/>
          <w:szCs w:val="21"/>
        </w:rPr>
        <w:t xml:space="preserve"> (91%). </w:t>
      </w:r>
      <w:proofErr w:type="spellStart"/>
      <w:r>
        <w:rPr>
          <w:rFonts w:ascii="Arial" w:hAnsi="Arial" w:cs="Arial"/>
          <w:color w:val="8A8A8A"/>
          <w:sz w:val="21"/>
          <w:szCs w:val="21"/>
        </w:rPr>
        <w:t>Ecoxal</w:t>
      </w:r>
      <w:proofErr w:type="spellEnd"/>
      <w:r>
        <w:rPr>
          <w:rFonts w:ascii="Arial" w:hAnsi="Arial" w:cs="Arial"/>
          <w:color w:val="8A8A8A"/>
          <w:sz w:val="21"/>
          <w:szCs w:val="21"/>
        </w:rPr>
        <w:t xml:space="preserve">, al pari di </w:t>
      </w:r>
      <w:proofErr w:type="spellStart"/>
      <w:r>
        <w:rPr>
          <w:rFonts w:ascii="Arial" w:hAnsi="Arial" w:cs="Arial"/>
          <w:color w:val="8A8A8A"/>
          <w:sz w:val="21"/>
          <w:szCs w:val="21"/>
        </w:rPr>
        <w:t>Apibioxal</w:t>
      </w:r>
      <w:proofErr w:type="spellEnd"/>
      <w:r>
        <w:rPr>
          <w:rFonts w:ascii="Arial" w:hAnsi="Arial" w:cs="Arial"/>
          <w:color w:val="8A8A8A"/>
          <w:sz w:val="21"/>
          <w:szCs w:val="21"/>
        </w:rPr>
        <w:t>, consiste in una soluzione zuccherina contenente acido ossalico diidrato. Questo è sufficiente per dedurre che le soluzioni con glicerolo sono superiori, in termini di efficacia, rispetto a quelle contenenti saccarosio? No, o almeno non sulla base di questi dati. Si deve infatti tenere conto che esiste una marcata differenza nella quantità di acido ossalico diidrato somministrata per alveare nelle tre formulazioni di cui stiamo discutendo:</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proofErr w:type="spellStart"/>
      <w:r>
        <w:rPr>
          <w:rFonts w:ascii="Arial" w:hAnsi="Arial" w:cs="Arial"/>
          <w:color w:val="8A8A8A"/>
          <w:sz w:val="21"/>
          <w:szCs w:val="21"/>
        </w:rPr>
        <w:t>Oxybee</w:t>
      </w:r>
      <w:proofErr w:type="spellEnd"/>
      <w:r>
        <w:rPr>
          <w:rFonts w:ascii="Arial" w:hAnsi="Arial" w:cs="Arial"/>
          <w:color w:val="8A8A8A"/>
          <w:sz w:val="21"/>
          <w:szCs w:val="21"/>
        </w:rPr>
        <w:t>: 2,364 g/alveare</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proofErr w:type="spellStart"/>
      <w:r>
        <w:rPr>
          <w:rFonts w:ascii="Arial" w:hAnsi="Arial" w:cs="Arial"/>
          <w:color w:val="8A8A8A"/>
          <w:sz w:val="21"/>
          <w:szCs w:val="21"/>
        </w:rPr>
        <w:t>Ecoxal</w:t>
      </w:r>
      <w:proofErr w:type="spellEnd"/>
      <w:r>
        <w:rPr>
          <w:rFonts w:ascii="Arial" w:hAnsi="Arial" w:cs="Arial"/>
          <w:color w:val="8A8A8A"/>
          <w:sz w:val="21"/>
          <w:szCs w:val="21"/>
        </w:rPr>
        <w:t>: 1,665 g/alveare secondo etichetta, leggermente meno nella prova del dossier 1,332 g/alveare.</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proofErr w:type="spellStart"/>
      <w:r>
        <w:rPr>
          <w:rFonts w:ascii="Arial" w:hAnsi="Arial" w:cs="Arial"/>
          <w:color w:val="8A8A8A"/>
          <w:sz w:val="21"/>
          <w:szCs w:val="21"/>
        </w:rPr>
        <w:t>Apibioxal</w:t>
      </w:r>
      <w:proofErr w:type="spellEnd"/>
      <w:r>
        <w:rPr>
          <w:rFonts w:ascii="Arial" w:hAnsi="Arial" w:cs="Arial"/>
          <w:color w:val="8A8A8A"/>
          <w:sz w:val="21"/>
          <w:szCs w:val="21"/>
        </w:rPr>
        <w:t>: 3,1 g/alveare</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r>
        <w:rPr>
          <w:rFonts w:ascii="Arial" w:hAnsi="Arial" w:cs="Arial"/>
          <w:color w:val="8A8A8A"/>
          <w:sz w:val="21"/>
          <w:szCs w:val="21"/>
        </w:rPr>
        <w:t xml:space="preserve">È ben più probabile dunque che la marcata differenza di efficacia tra </w:t>
      </w:r>
      <w:proofErr w:type="spellStart"/>
      <w:r>
        <w:rPr>
          <w:rFonts w:ascii="Arial" w:hAnsi="Arial" w:cs="Arial"/>
          <w:color w:val="8A8A8A"/>
          <w:sz w:val="21"/>
          <w:szCs w:val="21"/>
        </w:rPr>
        <w:t>Oxybee</w:t>
      </w:r>
      <w:proofErr w:type="spellEnd"/>
      <w:r>
        <w:rPr>
          <w:rFonts w:ascii="Arial" w:hAnsi="Arial" w:cs="Arial"/>
          <w:color w:val="8A8A8A"/>
          <w:sz w:val="21"/>
          <w:szCs w:val="21"/>
        </w:rPr>
        <w:t xml:space="preserve"> ed </w:t>
      </w:r>
      <w:proofErr w:type="spellStart"/>
      <w:r>
        <w:rPr>
          <w:rFonts w:ascii="Arial" w:hAnsi="Arial" w:cs="Arial"/>
          <w:color w:val="8A8A8A"/>
          <w:sz w:val="21"/>
          <w:szCs w:val="21"/>
        </w:rPr>
        <w:t>Ecoxal</w:t>
      </w:r>
      <w:proofErr w:type="spellEnd"/>
      <w:r>
        <w:rPr>
          <w:rFonts w:ascii="Arial" w:hAnsi="Arial" w:cs="Arial"/>
          <w:color w:val="8A8A8A"/>
          <w:sz w:val="21"/>
          <w:szCs w:val="21"/>
        </w:rPr>
        <w:t xml:space="preserve"> sia da ricondurre alla diversa quantità di principio attivo piuttosto che alla differenza nell’eccipiente.</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r>
        <w:rPr>
          <w:rFonts w:ascii="Arial" w:hAnsi="Arial" w:cs="Arial"/>
          <w:color w:val="8A8A8A"/>
          <w:sz w:val="21"/>
          <w:szCs w:val="21"/>
        </w:rPr>
        <w:t xml:space="preserve">Una soluzione al 4,2% p/v di acido ossalico diidrato in soluzione zuccherina al 60% p/v, corrispondente a quella che si ottiene con </w:t>
      </w:r>
      <w:proofErr w:type="spellStart"/>
      <w:r>
        <w:rPr>
          <w:rFonts w:ascii="Arial" w:hAnsi="Arial" w:cs="Arial"/>
          <w:color w:val="8A8A8A"/>
          <w:sz w:val="21"/>
          <w:szCs w:val="21"/>
        </w:rPr>
        <w:t>Apibioxal</w:t>
      </w:r>
      <w:proofErr w:type="spellEnd"/>
      <w:r>
        <w:rPr>
          <w:rFonts w:ascii="Arial" w:hAnsi="Arial" w:cs="Arial"/>
          <w:color w:val="8A8A8A"/>
          <w:sz w:val="21"/>
          <w:szCs w:val="21"/>
        </w:rPr>
        <w:t>, ha infatti dimostrato una efficacia media alle nostre latitudini pari al 95,3%.</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r>
        <w:rPr>
          <w:rFonts w:ascii="Arial" w:hAnsi="Arial" w:cs="Arial"/>
          <w:color w:val="8A8A8A"/>
          <w:sz w:val="21"/>
          <w:szCs w:val="21"/>
        </w:rPr>
        <w:t>Per sapere se il glicerolo rappresenta un eccipiente migliore servirebbe una prova ad hoc, utilizzando la medesima quantità di principio attivo.</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r>
        <w:rPr>
          <w:rStyle w:val="Enfasigrassetto"/>
          <w:rFonts w:ascii="Arial" w:hAnsi="Arial" w:cs="Arial"/>
          <w:color w:val="8A8A8A"/>
          <w:sz w:val="21"/>
          <w:szCs w:val="21"/>
        </w:rPr>
        <w:t>Cosa conviene utilizzare dunque?</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r>
        <w:rPr>
          <w:rFonts w:ascii="Arial" w:hAnsi="Arial" w:cs="Arial"/>
          <w:color w:val="8A8A8A"/>
          <w:sz w:val="21"/>
          <w:szCs w:val="21"/>
        </w:rPr>
        <w:lastRenderedPageBreak/>
        <w:t xml:space="preserve">Alla luce dei lavori in bibliografia, </w:t>
      </w:r>
      <w:proofErr w:type="spellStart"/>
      <w:r>
        <w:rPr>
          <w:rFonts w:ascii="Arial" w:hAnsi="Arial" w:cs="Arial"/>
          <w:color w:val="8A8A8A"/>
          <w:sz w:val="21"/>
          <w:szCs w:val="21"/>
        </w:rPr>
        <w:t>Oxybee</w:t>
      </w:r>
      <w:proofErr w:type="spellEnd"/>
      <w:r>
        <w:rPr>
          <w:rFonts w:ascii="Arial" w:hAnsi="Arial" w:cs="Arial"/>
          <w:color w:val="8A8A8A"/>
          <w:sz w:val="21"/>
          <w:szCs w:val="21"/>
        </w:rPr>
        <w:t xml:space="preserve"> non dovrebbe rappresentare un grosso passo avanti in conservabilità rispetto ad </w:t>
      </w:r>
      <w:proofErr w:type="spellStart"/>
      <w:r>
        <w:rPr>
          <w:rFonts w:ascii="Arial" w:hAnsi="Arial" w:cs="Arial"/>
          <w:color w:val="8A8A8A"/>
          <w:sz w:val="21"/>
          <w:szCs w:val="21"/>
        </w:rPr>
        <w:t>Apibioxal</w:t>
      </w:r>
      <w:proofErr w:type="spellEnd"/>
      <w:r>
        <w:rPr>
          <w:rFonts w:ascii="Arial" w:hAnsi="Arial" w:cs="Arial"/>
          <w:color w:val="8A8A8A"/>
          <w:sz w:val="21"/>
          <w:szCs w:val="21"/>
        </w:rPr>
        <w:t xml:space="preserve"> (nel range 2 – 8 ° C). Anche l’efficacia non sembra essere sostanzialmente diversa tra le due soluzioni ed è, in entrambi i casi, sufficientemente elevata per garantire un abbattimento invernale della </w:t>
      </w:r>
      <w:proofErr w:type="spellStart"/>
      <w:r>
        <w:rPr>
          <w:rFonts w:ascii="Arial" w:hAnsi="Arial" w:cs="Arial"/>
          <w:color w:val="8A8A8A"/>
          <w:sz w:val="21"/>
          <w:szCs w:val="21"/>
        </w:rPr>
        <w:t>varroa</w:t>
      </w:r>
      <w:proofErr w:type="spellEnd"/>
      <w:r>
        <w:rPr>
          <w:rFonts w:ascii="Arial" w:hAnsi="Arial" w:cs="Arial"/>
          <w:color w:val="8A8A8A"/>
          <w:sz w:val="21"/>
          <w:szCs w:val="21"/>
        </w:rPr>
        <w:t xml:space="preserve"> ideale. A favore di </w:t>
      </w:r>
      <w:proofErr w:type="spellStart"/>
      <w:r>
        <w:rPr>
          <w:rFonts w:ascii="Arial" w:hAnsi="Arial" w:cs="Arial"/>
          <w:color w:val="8A8A8A"/>
          <w:sz w:val="21"/>
          <w:szCs w:val="21"/>
        </w:rPr>
        <w:t>Oxybee</w:t>
      </w:r>
      <w:proofErr w:type="spellEnd"/>
      <w:r>
        <w:rPr>
          <w:rFonts w:ascii="Arial" w:hAnsi="Arial" w:cs="Arial"/>
          <w:color w:val="8A8A8A"/>
          <w:sz w:val="21"/>
          <w:szCs w:val="21"/>
        </w:rPr>
        <w:t xml:space="preserve"> c’è sicuramente la facilità di preparazione che impedisce ogni tipo di malinteso, cosa che invece si verifica spesso con </w:t>
      </w:r>
      <w:proofErr w:type="spellStart"/>
      <w:r>
        <w:rPr>
          <w:rFonts w:ascii="Arial" w:hAnsi="Arial" w:cs="Arial"/>
          <w:color w:val="8A8A8A"/>
          <w:sz w:val="21"/>
          <w:szCs w:val="21"/>
        </w:rPr>
        <w:t>Apibioxal</w:t>
      </w:r>
      <w:proofErr w:type="spellEnd"/>
      <w:r>
        <w:rPr>
          <w:rFonts w:ascii="Arial" w:hAnsi="Arial" w:cs="Arial"/>
          <w:color w:val="8A8A8A"/>
          <w:sz w:val="21"/>
          <w:szCs w:val="21"/>
        </w:rPr>
        <w:t xml:space="preserve">. La discriminante nella scelta sarà probabilmente rappresentata dal prezzo di acquisto. Al momento il prezzo online per un flacone da 1000g si aggira attorno ai 40 euro, che significa circa 2,2 €/colonia (ipotizzando una colonia su 10 telaini) contro i circa 0,7 €/colonia di </w:t>
      </w:r>
      <w:proofErr w:type="spellStart"/>
      <w:r>
        <w:rPr>
          <w:rFonts w:ascii="Arial" w:hAnsi="Arial" w:cs="Arial"/>
          <w:color w:val="8A8A8A"/>
          <w:sz w:val="21"/>
          <w:szCs w:val="21"/>
        </w:rPr>
        <w:t>Apibioxal</w:t>
      </w:r>
      <w:proofErr w:type="spellEnd"/>
      <w:r>
        <w:rPr>
          <w:rFonts w:ascii="Arial" w:hAnsi="Arial" w:cs="Arial"/>
          <w:color w:val="8A8A8A"/>
          <w:sz w:val="21"/>
          <w:szCs w:val="21"/>
        </w:rPr>
        <w:t>.</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r>
        <w:rPr>
          <w:rFonts w:ascii="Arial" w:hAnsi="Arial" w:cs="Arial"/>
          <w:color w:val="8A8A8A"/>
          <w:sz w:val="21"/>
          <w:szCs w:val="21"/>
        </w:rPr>
        <w:t xml:space="preserve">Articolo a cura di Riccardo </w:t>
      </w:r>
      <w:proofErr w:type="spellStart"/>
      <w:r>
        <w:rPr>
          <w:rFonts w:ascii="Arial" w:hAnsi="Arial" w:cs="Arial"/>
          <w:color w:val="8A8A8A"/>
          <w:sz w:val="21"/>
          <w:szCs w:val="21"/>
        </w:rPr>
        <w:t>Cabbri</w:t>
      </w:r>
      <w:proofErr w:type="spellEnd"/>
      <w:r>
        <w:rPr>
          <w:rFonts w:ascii="Arial" w:hAnsi="Arial" w:cs="Arial"/>
          <w:color w:val="8A8A8A"/>
          <w:sz w:val="21"/>
          <w:szCs w:val="21"/>
        </w:rPr>
        <w:t>.</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r>
        <w:rPr>
          <w:rStyle w:val="Enfasigrassetto"/>
          <w:rFonts w:ascii="Arial" w:hAnsi="Arial" w:cs="Arial"/>
          <w:color w:val="8A8A8A"/>
          <w:sz w:val="21"/>
          <w:szCs w:val="21"/>
        </w:rPr>
        <w:t>Bibliografia</w:t>
      </w:r>
    </w:p>
    <w:p w:rsidR="00870B1C" w:rsidRPr="00870B1C" w:rsidRDefault="00870B1C" w:rsidP="00870B1C">
      <w:pPr>
        <w:pStyle w:val="NormaleWeb"/>
        <w:shd w:val="clear" w:color="auto" w:fill="FFFFFF"/>
        <w:spacing w:before="0" w:beforeAutospacing="0" w:after="360" w:afterAutospacing="0"/>
        <w:rPr>
          <w:rFonts w:ascii="Arial" w:hAnsi="Arial" w:cs="Arial"/>
          <w:color w:val="8A8A8A"/>
          <w:sz w:val="21"/>
          <w:szCs w:val="21"/>
          <w:lang w:val="en-US"/>
        </w:rPr>
      </w:pPr>
      <w:proofErr w:type="spellStart"/>
      <w:r>
        <w:rPr>
          <w:rFonts w:ascii="Arial" w:hAnsi="Arial" w:cs="Arial"/>
          <w:color w:val="8A8A8A"/>
          <w:sz w:val="21"/>
          <w:szCs w:val="21"/>
        </w:rPr>
        <w:t>Bogdanov</w:t>
      </w:r>
      <w:proofErr w:type="spellEnd"/>
      <w:r>
        <w:rPr>
          <w:rFonts w:ascii="Arial" w:hAnsi="Arial" w:cs="Arial"/>
          <w:color w:val="8A8A8A"/>
          <w:sz w:val="21"/>
          <w:szCs w:val="21"/>
        </w:rPr>
        <w:t xml:space="preserve">, S., </w:t>
      </w:r>
      <w:proofErr w:type="spellStart"/>
      <w:r>
        <w:rPr>
          <w:rFonts w:ascii="Arial" w:hAnsi="Arial" w:cs="Arial"/>
          <w:color w:val="8A8A8A"/>
          <w:sz w:val="21"/>
          <w:szCs w:val="21"/>
        </w:rPr>
        <w:t>Kilchenmann</w:t>
      </w:r>
      <w:proofErr w:type="spellEnd"/>
      <w:r>
        <w:rPr>
          <w:rFonts w:ascii="Arial" w:hAnsi="Arial" w:cs="Arial"/>
          <w:color w:val="8A8A8A"/>
          <w:sz w:val="21"/>
          <w:szCs w:val="21"/>
        </w:rPr>
        <w:t xml:space="preserve">, V., </w:t>
      </w:r>
      <w:proofErr w:type="spellStart"/>
      <w:r>
        <w:rPr>
          <w:rFonts w:ascii="Arial" w:hAnsi="Arial" w:cs="Arial"/>
          <w:color w:val="8A8A8A"/>
          <w:sz w:val="21"/>
          <w:szCs w:val="21"/>
        </w:rPr>
        <w:t>Charrière</w:t>
      </w:r>
      <w:proofErr w:type="spellEnd"/>
      <w:r>
        <w:rPr>
          <w:rFonts w:ascii="Arial" w:hAnsi="Arial" w:cs="Arial"/>
          <w:color w:val="8A8A8A"/>
          <w:sz w:val="21"/>
          <w:szCs w:val="21"/>
        </w:rPr>
        <w:t xml:space="preserve">, J. D., &amp; </w:t>
      </w:r>
      <w:proofErr w:type="spellStart"/>
      <w:r>
        <w:rPr>
          <w:rFonts w:ascii="Arial" w:hAnsi="Arial" w:cs="Arial"/>
          <w:color w:val="8A8A8A"/>
          <w:sz w:val="21"/>
          <w:szCs w:val="21"/>
        </w:rPr>
        <w:t>Imdorf</w:t>
      </w:r>
      <w:proofErr w:type="spellEnd"/>
      <w:r>
        <w:rPr>
          <w:rFonts w:ascii="Arial" w:hAnsi="Arial" w:cs="Arial"/>
          <w:color w:val="8A8A8A"/>
          <w:sz w:val="21"/>
          <w:szCs w:val="21"/>
        </w:rPr>
        <w:t xml:space="preserve">, A. (2001). </w:t>
      </w:r>
      <w:r w:rsidRPr="00870B1C">
        <w:rPr>
          <w:rFonts w:ascii="Arial" w:hAnsi="Arial" w:cs="Arial"/>
          <w:color w:val="8A8A8A"/>
          <w:sz w:val="21"/>
          <w:szCs w:val="21"/>
          <w:lang w:val="en-US"/>
        </w:rPr>
        <w:t>Storage of oxalic acid sucrose solution. </w:t>
      </w:r>
      <w:r w:rsidRPr="00870B1C">
        <w:rPr>
          <w:rFonts w:ascii="Arial" w:hAnsi="Arial" w:cs="Arial"/>
          <w:i/>
          <w:iCs/>
          <w:color w:val="8A8A8A"/>
          <w:sz w:val="21"/>
          <w:szCs w:val="21"/>
          <w:lang w:val="en-US"/>
        </w:rPr>
        <w:t>Swiss Research Centre</w:t>
      </w:r>
      <w:r w:rsidRPr="00870B1C">
        <w:rPr>
          <w:rFonts w:ascii="Arial" w:hAnsi="Arial" w:cs="Arial"/>
          <w:color w:val="8A8A8A"/>
          <w:sz w:val="21"/>
          <w:szCs w:val="21"/>
          <w:lang w:val="en-US"/>
        </w:rPr>
        <w:t>.</w:t>
      </w:r>
    </w:p>
    <w:p w:rsidR="00870B1C" w:rsidRDefault="00870B1C" w:rsidP="00870B1C">
      <w:pPr>
        <w:pStyle w:val="NormaleWeb"/>
        <w:shd w:val="clear" w:color="auto" w:fill="FFFFFF"/>
        <w:spacing w:before="0" w:beforeAutospacing="0" w:after="360" w:afterAutospacing="0"/>
        <w:rPr>
          <w:rFonts w:ascii="Arial" w:hAnsi="Arial" w:cs="Arial"/>
          <w:color w:val="8A8A8A"/>
          <w:sz w:val="21"/>
          <w:szCs w:val="21"/>
        </w:rPr>
      </w:pPr>
      <w:r w:rsidRPr="00870B1C">
        <w:rPr>
          <w:rFonts w:ascii="Arial" w:hAnsi="Arial" w:cs="Arial"/>
          <w:color w:val="8A8A8A"/>
          <w:sz w:val="21"/>
          <w:szCs w:val="21"/>
          <w:lang w:val="en-US"/>
        </w:rPr>
        <w:t>Prandin, L., Dainese, N., Girardi, B., Damolin, O., Piro, R., &amp; Mutinelli, F. (2001). A scientific note on long-term stability of a home-made oxalic acid water sugar solution for controlling varroosis. </w:t>
      </w:r>
      <w:proofErr w:type="spellStart"/>
      <w:r>
        <w:rPr>
          <w:rFonts w:ascii="Arial" w:hAnsi="Arial" w:cs="Arial"/>
          <w:i/>
          <w:iCs/>
          <w:color w:val="8A8A8A"/>
          <w:sz w:val="21"/>
          <w:szCs w:val="21"/>
        </w:rPr>
        <w:t>Apidologie</w:t>
      </w:r>
      <w:proofErr w:type="spellEnd"/>
      <w:r>
        <w:rPr>
          <w:rFonts w:ascii="Arial" w:hAnsi="Arial" w:cs="Arial"/>
          <w:color w:val="8A8A8A"/>
          <w:sz w:val="21"/>
          <w:szCs w:val="21"/>
        </w:rPr>
        <w:t>, </w:t>
      </w:r>
      <w:r>
        <w:rPr>
          <w:rFonts w:ascii="Arial" w:hAnsi="Arial" w:cs="Arial"/>
          <w:i/>
          <w:iCs/>
          <w:color w:val="8A8A8A"/>
          <w:sz w:val="21"/>
          <w:szCs w:val="21"/>
        </w:rPr>
        <w:t>32</w:t>
      </w:r>
      <w:r>
        <w:rPr>
          <w:rFonts w:ascii="Arial" w:hAnsi="Arial" w:cs="Arial"/>
          <w:color w:val="8A8A8A"/>
          <w:sz w:val="21"/>
          <w:szCs w:val="21"/>
        </w:rPr>
        <w:t>(5), 451-452.</w:t>
      </w:r>
    </w:p>
    <w:p w:rsidR="005D1830" w:rsidRDefault="005D1830">
      <w:bookmarkStart w:id="0" w:name="_GoBack"/>
      <w:bookmarkEnd w:id="0"/>
    </w:p>
    <w:sectPr w:rsidR="005D18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1C"/>
    <w:rsid w:val="00201763"/>
    <w:rsid w:val="004E7A0C"/>
    <w:rsid w:val="00517650"/>
    <w:rsid w:val="005D1830"/>
    <w:rsid w:val="0086292D"/>
    <w:rsid w:val="00870B1C"/>
    <w:rsid w:val="00F77D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576B8-2EA9-4CF8-82C3-A84C2FC2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70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70B1C"/>
    <w:rPr>
      <w:b/>
      <w:bCs/>
    </w:rPr>
  </w:style>
  <w:style w:type="character" w:styleId="Collegamentoipertestuale">
    <w:name w:val="Hyperlink"/>
    <w:basedOn w:val="Carpredefinitoparagrafo"/>
    <w:uiPriority w:val="99"/>
    <w:semiHidden/>
    <w:unhideWhenUsed/>
    <w:rsid w:val="00870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6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ma.europa.eu/documents/assessment-report/oxybee-epar-public-assessment-report_e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veis.it/wp-content/uploads/2018/10/Oxybee-brochure-2018-EUROPE-ALVEIS.pdf"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afapicoltori@gmail.com</dc:creator>
  <cp:keywords/>
  <dc:description/>
  <cp:lastModifiedBy>afapicoltori@gmail.com</cp:lastModifiedBy>
  <cp:revision>1</cp:revision>
  <dcterms:created xsi:type="dcterms:W3CDTF">2019-07-24T08:41:00Z</dcterms:created>
  <dcterms:modified xsi:type="dcterms:W3CDTF">2019-07-24T08:42:00Z</dcterms:modified>
</cp:coreProperties>
</file>